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BC" w:rsidRPr="00BC295F" w:rsidRDefault="00FE75BC" w:rsidP="00BC295F">
      <w:pPr>
        <w:autoSpaceDE w:val="0"/>
        <w:autoSpaceDN w:val="0"/>
        <w:adjustRightInd w:val="0"/>
        <w:rPr>
          <w:rFonts w:ascii="Verdana" w:hAnsi="Verdana"/>
          <w:b/>
          <w:color w:val="000000"/>
        </w:rPr>
      </w:pPr>
      <w:r w:rsidRPr="00FE75BC">
        <w:rPr>
          <w:rFonts w:ascii="Verdana" w:hAnsi="Verdana"/>
          <w:b/>
          <w:color w:val="000000"/>
        </w:rPr>
        <w:t xml:space="preserve">The dataset represents </w:t>
      </w:r>
      <w:r w:rsidRPr="00BC295F">
        <w:rPr>
          <w:rFonts w:ascii="Verdana" w:hAnsi="Verdana"/>
          <w:b/>
          <w:color w:val="000000"/>
        </w:rPr>
        <w:t xml:space="preserve">data from the study by </w:t>
      </w:r>
      <w:proofErr w:type="spellStart"/>
      <w:r w:rsidR="00BC295F" w:rsidRPr="00BC295F">
        <w:rPr>
          <w:rFonts w:ascii="Verdana" w:hAnsi="Verdana"/>
          <w:b/>
          <w:color w:val="000000"/>
        </w:rPr>
        <w:t>Roberman</w:t>
      </w:r>
      <w:proofErr w:type="spellEnd"/>
      <w:r w:rsidRPr="00BC295F">
        <w:rPr>
          <w:rFonts w:ascii="Verdana" w:hAnsi="Verdana"/>
          <w:b/>
          <w:color w:val="000000"/>
        </w:rPr>
        <w:t xml:space="preserve"> et al. </w:t>
      </w:r>
      <w:r w:rsidR="00AE33AA" w:rsidRPr="00BC295F">
        <w:rPr>
          <w:rFonts w:ascii="Verdana" w:hAnsi="Verdana"/>
          <w:b/>
          <w:color w:val="000000"/>
        </w:rPr>
        <w:t>“</w:t>
      </w:r>
      <w:r w:rsidR="00BC295F" w:rsidRPr="00BC295F">
        <w:rPr>
          <w:rFonts w:ascii="Verdana" w:eastAsiaTheme="minorHAnsi" w:hAnsi="Verdana" w:cs="AdvTT336784a7"/>
          <w:b/>
        </w:rPr>
        <w:t>Combined Versus Sequential Injection of Mepivacaine</w:t>
      </w:r>
      <w:r w:rsidR="00BC295F">
        <w:rPr>
          <w:rFonts w:ascii="Verdana" w:eastAsiaTheme="minorHAnsi" w:hAnsi="Verdana" w:cs="AdvTT336784a7"/>
          <w:b/>
        </w:rPr>
        <w:t xml:space="preserve"> </w:t>
      </w:r>
      <w:r w:rsidR="00BC295F" w:rsidRPr="00BC295F">
        <w:rPr>
          <w:rFonts w:ascii="Verdana" w:eastAsiaTheme="minorHAnsi" w:hAnsi="Verdana" w:cs="AdvTT336784a7"/>
          <w:b/>
        </w:rPr>
        <w:t>and Ropivacaine for Supraclavicular Nerve Blocks</w:t>
      </w:r>
      <w:r w:rsidRPr="00BC295F">
        <w:rPr>
          <w:rFonts w:ascii="Verdana" w:hAnsi="Verdana"/>
          <w:b/>
          <w:color w:val="000000"/>
        </w:rPr>
        <w:t xml:space="preserve">”. </w:t>
      </w:r>
      <w:proofErr w:type="spellStart"/>
      <w:r w:rsidR="00BC295F" w:rsidRPr="00BC295F">
        <w:rPr>
          <w:rFonts w:ascii="Verdana" w:hAnsi="Verdana"/>
          <w:b/>
          <w:i/>
          <w:color w:val="000000"/>
        </w:rPr>
        <w:t>Reg</w:t>
      </w:r>
      <w:proofErr w:type="spellEnd"/>
      <w:r w:rsidR="00BC295F" w:rsidRPr="00BC295F">
        <w:rPr>
          <w:rFonts w:ascii="Verdana" w:hAnsi="Verdana"/>
          <w:b/>
          <w:i/>
          <w:color w:val="000000"/>
        </w:rPr>
        <w:t xml:space="preserve"> </w:t>
      </w:r>
      <w:proofErr w:type="spellStart"/>
      <w:r w:rsidRPr="00BC295F">
        <w:rPr>
          <w:rFonts w:ascii="Verdana" w:hAnsi="Verdana" w:cs="HelveticaNeue-Italic"/>
          <w:b/>
          <w:i/>
          <w:iCs/>
          <w:color w:val="231F20"/>
        </w:rPr>
        <w:t>Anesth</w:t>
      </w:r>
      <w:proofErr w:type="spellEnd"/>
      <w:r w:rsidRPr="00BC295F">
        <w:rPr>
          <w:rFonts w:ascii="Verdana" w:hAnsi="Verdana" w:cs="HelveticaNeue-Italic"/>
          <w:b/>
          <w:i/>
          <w:iCs/>
          <w:color w:val="231F20"/>
        </w:rPr>
        <w:t xml:space="preserve"> </w:t>
      </w:r>
      <w:r w:rsidR="00BC295F">
        <w:rPr>
          <w:rFonts w:ascii="Verdana" w:hAnsi="Verdana" w:cs="HelveticaNeue-Italic"/>
          <w:b/>
          <w:i/>
          <w:iCs/>
          <w:color w:val="231F20"/>
        </w:rPr>
        <w:t>Pain Med</w:t>
      </w:r>
      <w:r w:rsidR="00AE33AA" w:rsidRPr="00BC295F">
        <w:rPr>
          <w:rFonts w:ascii="Verdana" w:hAnsi="Verdana"/>
          <w:b/>
          <w:color w:val="000000"/>
        </w:rPr>
        <w:t xml:space="preserve"> 2011; </w:t>
      </w:r>
      <w:r w:rsidR="00BC295F">
        <w:rPr>
          <w:rFonts w:ascii="Verdana" w:hAnsi="Verdana"/>
          <w:b/>
          <w:color w:val="000000"/>
        </w:rPr>
        <w:t>36</w:t>
      </w:r>
      <w:r w:rsidRPr="00BC295F">
        <w:rPr>
          <w:rFonts w:ascii="Verdana" w:hAnsi="Verdana" w:cs="HelveticaNeue-Italic"/>
          <w:b/>
          <w:iCs/>
          <w:color w:val="231F20"/>
        </w:rPr>
        <w:t xml:space="preserve">: </w:t>
      </w:r>
      <w:r w:rsidR="00BC295F">
        <w:rPr>
          <w:rFonts w:ascii="Verdana" w:hAnsi="Verdana" w:cs="HelveticaNeue-Italic"/>
          <w:b/>
          <w:iCs/>
          <w:color w:val="231F20"/>
        </w:rPr>
        <w:t>145</w:t>
      </w:r>
      <w:r w:rsidRPr="00BC295F">
        <w:rPr>
          <w:rFonts w:ascii="Verdana" w:hAnsi="Verdana" w:cs="HelveticaNeue-Italic"/>
          <w:b/>
          <w:iCs/>
          <w:color w:val="231F20"/>
        </w:rPr>
        <w:t>-</w:t>
      </w:r>
      <w:r w:rsidR="00BC295F">
        <w:rPr>
          <w:rFonts w:ascii="Verdana" w:hAnsi="Verdana" w:cs="HelveticaNeue-Italic"/>
          <w:b/>
          <w:iCs/>
          <w:color w:val="231F20"/>
        </w:rPr>
        <w:t>50</w:t>
      </w:r>
      <w:r w:rsidRPr="00BC295F">
        <w:rPr>
          <w:rFonts w:ascii="Verdana" w:hAnsi="Verdana"/>
          <w:b/>
          <w:color w:val="000000"/>
        </w:rPr>
        <w:t xml:space="preserve">.  </w:t>
      </w:r>
    </w:p>
    <w:p w:rsidR="00FE75BC" w:rsidRDefault="00FE75BC" w:rsidP="00FE75BC">
      <w:pPr>
        <w:rPr>
          <w:color w:val="000000"/>
          <w:sz w:val="28"/>
          <w:szCs w:val="20"/>
          <w:lang w:bidi="en-US"/>
        </w:rPr>
      </w:pPr>
    </w:p>
    <w:p w:rsidR="00FE75BC" w:rsidRPr="002229CF" w:rsidRDefault="00FE75BC" w:rsidP="00FE75BC">
      <w:pPr>
        <w:rPr>
          <w:rFonts w:ascii="Verdana" w:hAnsi="Verdana"/>
          <w:b/>
          <w:color w:val="000000"/>
        </w:rPr>
      </w:pPr>
      <w:r w:rsidRPr="00FE75BC">
        <w:rPr>
          <w:rFonts w:ascii="Verdana" w:hAnsi="Verdana"/>
          <w:b/>
          <w:color w:val="000000"/>
        </w:rPr>
        <w:t xml:space="preserve">Dataset: </w:t>
      </w:r>
      <w:r w:rsidR="002229CF">
        <w:rPr>
          <w:rFonts w:ascii="Verdana" w:eastAsiaTheme="minorHAnsi" w:hAnsi="Verdana" w:cs="AdvTT7c3c51d9"/>
          <w:b/>
        </w:rPr>
        <w:t>S</w:t>
      </w:r>
      <w:r w:rsidR="002229CF" w:rsidRPr="002229CF">
        <w:rPr>
          <w:rFonts w:ascii="Verdana" w:eastAsiaTheme="minorHAnsi" w:hAnsi="Verdana" w:cs="AdvTT7c3c51d9"/>
          <w:b/>
        </w:rPr>
        <w:t>upraclavicular</w:t>
      </w:r>
    </w:p>
    <w:p w:rsidR="00FE75BC" w:rsidRDefault="00FE75BC" w:rsidP="00FE75BC">
      <w:pPr>
        <w:rPr>
          <w:rFonts w:ascii="Verdana" w:hAnsi="Verdana"/>
          <w:b/>
          <w:color w:val="000000"/>
        </w:rPr>
      </w:pPr>
    </w:p>
    <w:p w:rsidR="004674EF" w:rsidRDefault="004674EF" w:rsidP="004674EF">
      <w:pPr>
        <w:autoSpaceDE w:val="0"/>
        <w:autoSpaceDN w:val="0"/>
        <w:adjustRightInd w:val="0"/>
        <w:rPr>
          <w:rFonts w:ascii="Verdana" w:eastAsiaTheme="minorHAnsi" w:hAnsi="Verdana" w:cs="AdvTT7c3c51d9"/>
        </w:rPr>
      </w:pPr>
      <w:r w:rsidRPr="004674EF">
        <w:rPr>
          <w:rFonts w:ascii="Verdana" w:eastAsiaTheme="minorHAnsi" w:hAnsi="Verdana" w:cs="AdvTT336784a7"/>
        </w:rPr>
        <w:t>T</w:t>
      </w:r>
      <w:r w:rsidRPr="004674EF">
        <w:rPr>
          <w:rFonts w:ascii="Verdana" w:eastAsiaTheme="minorHAnsi" w:hAnsi="Verdana" w:cs="AdvTT7c3c51d9"/>
        </w:rPr>
        <w:t>he choice of anesthetic technique combined with a suitable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plan for postoperative analgesia can facilitate early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discharge, improve patient comfort, and increase overall satisfaction.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Patients having painful procedures under general anesthesia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have a 2- to 5-fold greater risk of unplanned overnight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admissions compared with those having regional anesthesia.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Regional anesthetic techniques and peripheral nerve blocks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are especially favored for surgeries on the extremities.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Both rapid onset of the block and prolonged postoperative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 xml:space="preserve">analgesia are desired characteristics of regional anesthesia. </w:t>
      </w:r>
    </w:p>
    <w:p w:rsidR="004674EF" w:rsidRDefault="004674EF" w:rsidP="004674EF">
      <w:pPr>
        <w:autoSpaceDE w:val="0"/>
        <w:autoSpaceDN w:val="0"/>
        <w:adjustRightInd w:val="0"/>
        <w:rPr>
          <w:rFonts w:ascii="Verdana" w:eastAsiaTheme="minorHAnsi" w:hAnsi="Verdana" w:cs="AdvTT7c3c51d9"/>
        </w:rPr>
      </w:pPr>
    </w:p>
    <w:p w:rsidR="004674EF" w:rsidRDefault="004674EF" w:rsidP="004674EF">
      <w:pPr>
        <w:autoSpaceDE w:val="0"/>
        <w:autoSpaceDN w:val="0"/>
        <w:adjustRightInd w:val="0"/>
        <w:rPr>
          <w:rFonts w:ascii="Verdana" w:eastAsiaTheme="minorHAnsi" w:hAnsi="Verdana" w:cs="AdvTT7c3c51d9"/>
        </w:rPr>
      </w:pPr>
      <w:r w:rsidRPr="004674EF">
        <w:rPr>
          <w:rFonts w:ascii="Verdana" w:eastAsiaTheme="minorHAnsi" w:hAnsi="Verdana" w:cs="AdvTT7c3c51d9"/>
        </w:rPr>
        <w:t>The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choice of local anesthetics or combinations thereof can greatly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influence the effectiveness of the block, onset time, duration of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postoperative analgesia, need for opioid</w:t>
      </w:r>
      <w:r>
        <w:rPr>
          <w:rFonts w:ascii="Verdana" w:eastAsiaTheme="minorHAnsi" w:hAnsi="Verdana" w:cs="AdvTT7c3c51d9"/>
        </w:rPr>
        <w:t xml:space="preserve"> use, and patient satisfaction.</w:t>
      </w:r>
      <w:r w:rsidRPr="004674EF">
        <w:rPr>
          <w:rFonts w:ascii="Verdana" w:eastAsiaTheme="minorHAnsi" w:hAnsi="Verdana" w:cs="AdvTT7c3c51d9"/>
        </w:rPr>
        <w:t xml:space="preserve"> Mepivacaine and ropivacaine are commonly used in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peripheral nerve blocks, their drawbacks being a short duration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with 1.5% mepivacaine and a delayed onset with 0.5%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ropivacaine. An ideal local anesthetic with high potency, low toxicity,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rapid onset, and prolonged duration does not exist yet. Investigators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have therefore tried mixtures of local anesthetics in an attempt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to combine their advantages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with conflicting results.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A potential problem is that mixing drugs dilutes the effects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of each. Thus, a mixture of a rapid-onset drug such as mepivacaine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with a long-acting one such as ropivacaine may well result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in slower onset than mepivacaine alone and shorter duration of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action than ropivacaine alone. In contrast, sequential administration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of the same amounts of the same drugs may preserve the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 xml:space="preserve">desirable features of each. </w:t>
      </w:r>
    </w:p>
    <w:p w:rsidR="004674EF" w:rsidRDefault="004674EF" w:rsidP="004674EF">
      <w:pPr>
        <w:autoSpaceDE w:val="0"/>
        <w:autoSpaceDN w:val="0"/>
        <w:adjustRightInd w:val="0"/>
        <w:rPr>
          <w:rFonts w:ascii="Verdana" w:eastAsiaTheme="minorHAnsi" w:hAnsi="Verdana" w:cs="AdvTT7c3c51d9"/>
        </w:rPr>
      </w:pPr>
    </w:p>
    <w:p w:rsidR="00BC295F" w:rsidRPr="001A35FA" w:rsidRDefault="004674EF" w:rsidP="004674EF">
      <w:pPr>
        <w:autoSpaceDE w:val="0"/>
        <w:autoSpaceDN w:val="0"/>
        <w:adjustRightInd w:val="0"/>
        <w:rPr>
          <w:rFonts w:ascii="Verdana" w:eastAsiaTheme="minorHAnsi" w:hAnsi="Verdana" w:cs="AdvTT7c3c51d9"/>
        </w:rPr>
      </w:pPr>
      <w:r w:rsidRPr="004674EF">
        <w:rPr>
          <w:rFonts w:ascii="Verdana" w:eastAsiaTheme="minorHAnsi" w:hAnsi="Verdana" w:cs="AdvTT7c3c51d9"/>
        </w:rPr>
        <w:t>We therefore tested the hypothesis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that sequential supraclavicular injection of 1.5% mepivacaine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>followed 90 sec</w:t>
      </w:r>
      <w:r w:rsidR="00324D81">
        <w:rPr>
          <w:rFonts w:ascii="Verdana" w:eastAsiaTheme="minorHAnsi" w:hAnsi="Verdana" w:cs="AdvTT7c3c51d9"/>
        </w:rPr>
        <w:t>ond</w:t>
      </w:r>
      <w:r w:rsidRPr="004674EF">
        <w:rPr>
          <w:rFonts w:ascii="Verdana" w:eastAsiaTheme="minorHAnsi" w:hAnsi="Verdana" w:cs="AdvTT7c3c51d9"/>
        </w:rPr>
        <w:t>s later by 0.5% ropivacaine provides a quicker</w:t>
      </w:r>
      <w:r>
        <w:rPr>
          <w:rFonts w:ascii="Verdana" w:eastAsiaTheme="minorHAnsi" w:hAnsi="Verdana" w:cs="AdvTT7c3c51d9"/>
        </w:rPr>
        <w:t xml:space="preserve"> </w:t>
      </w:r>
      <w:r w:rsidRPr="004674EF">
        <w:rPr>
          <w:rFonts w:ascii="Verdana" w:eastAsiaTheme="minorHAnsi" w:hAnsi="Verdana" w:cs="AdvTT7c3c51d9"/>
        </w:rPr>
        <w:t xml:space="preserve">onset and a longer duration of analgesia than an </w:t>
      </w:r>
      <w:r w:rsidR="00324D81" w:rsidRPr="004674EF">
        <w:rPr>
          <w:rFonts w:ascii="Verdana" w:eastAsiaTheme="minorHAnsi" w:hAnsi="Verdana" w:cs="AdvTT7c3c51d9"/>
        </w:rPr>
        <w:t xml:space="preserve">equidose </w:t>
      </w:r>
      <w:r w:rsidR="00324D81">
        <w:rPr>
          <w:rFonts w:ascii="Verdana" w:eastAsiaTheme="minorHAnsi" w:hAnsi="Verdana" w:cs="AdvTT7c3c51d9"/>
        </w:rPr>
        <w:t>combination</w:t>
      </w:r>
      <w:r w:rsidRPr="001A35FA">
        <w:rPr>
          <w:rFonts w:ascii="Verdana" w:eastAsiaTheme="minorHAnsi" w:hAnsi="Verdana" w:cs="AdvTT7c3c51d9"/>
        </w:rPr>
        <w:t xml:space="preserve"> </w:t>
      </w:r>
      <w:r w:rsidRPr="001A35FA">
        <w:rPr>
          <w:rFonts w:ascii="Verdana" w:eastAsiaTheme="minorHAnsi" w:hAnsi="Verdana" w:cs="AdvTT7c3c51d9"/>
        </w:rPr>
        <w:t>of the 2 local anesthetics.</w:t>
      </w:r>
    </w:p>
    <w:p w:rsidR="004674EF" w:rsidRPr="001A35FA" w:rsidRDefault="004674EF" w:rsidP="004674EF">
      <w:pPr>
        <w:autoSpaceDE w:val="0"/>
        <w:autoSpaceDN w:val="0"/>
        <w:adjustRightInd w:val="0"/>
        <w:rPr>
          <w:rFonts w:ascii="Verdana" w:eastAsiaTheme="minorHAnsi" w:hAnsi="Verdana" w:cs="AdvTT7c3c51d9"/>
        </w:rPr>
      </w:pPr>
    </w:p>
    <w:p w:rsidR="004674EF" w:rsidRDefault="004674EF" w:rsidP="001A35FA">
      <w:pPr>
        <w:autoSpaceDE w:val="0"/>
        <w:autoSpaceDN w:val="0"/>
        <w:adjustRightInd w:val="0"/>
        <w:rPr>
          <w:rFonts w:ascii="Verdana" w:eastAsiaTheme="minorHAnsi" w:hAnsi="Verdana" w:cs="AdvTT7c3c51d9"/>
        </w:rPr>
      </w:pPr>
      <w:r w:rsidRPr="001A35FA">
        <w:rPr>
          <w:rFonts w:ascii="Verdana" w:eastAsiaTheme="minorHAnsi" w:hAnsi="Verdana" w:cs="AdvTT7c3c51d9"/>
        </w:rPr>
        <w:t>This study consisted of</w:t>
      </w:r>
      <w:r w:rsidRPr="001A35FA">
        <w:rPr>
          <w:rFonts w:ascii="Verdana" w:eastAsiaTheme="minorHAnsi" w:hAnsi="Verdana" w:cs="AdvTT7c3c51d9"/>
        </w:rPr>
        <w:t xml:space="preserve"> 1</w:t>
      </w:r>
      <w:r w:rsidRPr="001A35FA">
        <w:rPr>
          <w:rFonts w:ascii="Verdana" w:eastAsiaTheme="minorHAnsi" w:hAnsi="Verdana" w:cs="AdvTT7c3c51d9"/>
        </w:rPr>
        <w:t>03</w:t>
      </w:r>
      <w:r w:rsidRPr="001A35FA">
        <w:rPr>
          <w:rFonts w:ascii="Verdana" w:eastAsiaTheme="minorHAnsi" w:hAnsi="Verdana" w:cs="AdvTT7c3c51d9"/>
        </w:rPr>
        <w:t xml:space="preserve"> patients,</w:t>
      </w:r>
      <w:r w:rsidRPr="001A35FA">
        <w:rPr>
          <w:rFonts w:ascii="Verdana" w:eastAsiaTheme="minorHAnsi" w:hAnsi="Verdana" w:cs="AdvTT7c3c51d9"/>
        </w:rPr>
        <w:t xml:space="preserve"> </w:t>
      </w:r>
      <w:r w:rsidRPr="001A35FA">
        <w:rPr>
          <w:rFonts w:ascii="Verdana" w:eastAsiaTheme="minorHAnsi" w:hAnsi="Verdana" w:cs="AdvTT7c3c51d9"/>
        </w:rPr>
        <w:t xml:space="preserve">aged 18 to 70 years, who were scheduled to undergo an </w:t>
      </w:r>
      <w:r w:rsidR="001A35FA" w:rsidRPr="001A35FA">
        <w:rPr>
          <w:rFonts w:ascii="Verdana" w:eastAsiaTheme="minorHAnsi" w:hAnsi="Verdana" w:cs="AdvTT7c3c51d9"/>
        </w:rPr>
        <w:t xml:space="preserve">upper extremity </w:t>
      </w:r>
      <w:r w:rsidRPr="001A35FA">
        <w:rPr>
          <w:rFonts w:ascii="Verdana" w:eastAsiaTheme="minorHAnsi" w:hAnsi="Verdana" w:cs="AdvTT7c3c51d9"/>
        </w:rPr>
        <w:t>procedure suitable for supraclavicular anesthesia.</w:t>
      </w:r>
      <w:r w:rsidR="001A35FA" w:rsidRPr="001A35FA">
        <w:rPr>
          <w:rFonts w:ascii="Verdana" w:eastAsiaTheme="minorHAnsi" w:hAnsi="Verdana" w:cs="AdvTT7c3c51d9"/>
        </w:rPr>
        <w:t xml:space="preserve"> </w:t>
      </w:r>
      <w:r w:rsidRPr="001A35FA">
        <w:rPr>
          <w:rFonts w:ascii="Verdana" w:eastAsiaTheme="minorHAnsi" w:hAnsi="Verdana" w:cs="AdvTT7c3c51d9"/>
        </w:rPr>
        <w:t>These procedures were expected to be associated with considerable</w:t>
      </w:r>
      <w:r w:rsidR="001A35FA" w:rsidRPr="001A35FA">
        <w:rPr>
          <w:rFonts w:ascii="Verdana" w:eastAsiaTheme="minorHAnsi" w:hAnsi="Verdana" w:cs="AdvTT7c3c51d9"/>
        </w:rPr>
        <w:t xml:space="preserve"> </w:t>
      </w:r>
      <w:r w:rsidRPr="001A35FA">
        <w:rPr>
          <w:rFonts w:ascii="Verdana" w:eastAsiaTheme="minorHAnsi" w:hAnsi="Verdana" w:cs="AdvTT7c3c51d9"/>
        </w:rPr>
        <w:t>postoperative pain.</w:t>
      </w:r>
      <w:r w:rsidR="001A35FA">
        <w:rPr>
          <w:rFonts w:ascii="Verdana" w:eastAsiaTheme="minorHAnsi" w:hAnsi="Verdana" w:cs="AdvTT7c3c51d9"/>
        </w:rPr>
        <w:t xml:space="preserve"> </w:t>
      </w:r>
      <w:r w:rsidR="001A35FA" w:rsidRPr="001A35FA">
        <w:rPr>
          <w:rFonts w:ascii="Verdana" w:eastAsiaTheme="minorHAnsi" w:hAnsi="Verdana" w:cs="AdvTT7c3c51d9"/>
        </w:rPr>
        <w:t xml:space="preserve">Patients were </w:t>
      </w:r>
      <w:r w:rsidR="001A35FA">
        <w:rPr>
          <w:rFonts w:ascii="Verdana" w:eastAsiaTheme="minorHAnsi" w:hAnsi="Verdana" w:cs="AdvTT7c3c51d9"/>
        </w:rPr>
        <w:t xml:space="preserve">randomly </w:t>
      </w:r>
      <w:r w:rsidR="001A35FA" w:rsidRPr="001A35FA">
        <w:rPr>
          <w:rFonts w:ascii="Verdana" w:eastAsiaTheme="minorHAnsi" w:hAnsi="Verdana" w:cs="AdvTT7c3c51d9"/>
        </w:rPr>
        <w:t>assigned to either (1) combined group</w:t>
      </w:r>
      <w:r w:rsidR="001A35FA">
        <w:rPr>
          <w:rFonts w:ascii="Verdana" w:eastAsiaTheme="minorHAnsi" w:hAnsi="Verdana" w:cs="AdvTT7c3c51d9"/>
        </w:rPr>
        <w:t>-</w:t>
      </w:r>
      <w:r w:rsidR="001A35FA" w:rsidRPr="001A35FA">
        <w:rPr>
          <w:rFonts w:ascii="Verdana" w:eastAsiaTheme="minorHAnsi" w:hAnsi="Verdana" w:cs="AdvTT7c3c51d9"/>
        </w:rPr>
        <w:t>ropivacaine</w:t>
      </w:r>
      <w:r w:rsidR="001A35FA">
        <w:rPr>
          <w:rFonts w:ascii="Verdana" w:eastAsiaTheme="minorHAnsi" w:hAnsi="Verdana" w:cs="AdvTT7c3c51d9"/>
        </w:rPr>
        <w:t xml:space="preserve"> </w:t>
      </w:r>
      <w:r w:rsidR="001A35FA" w:rsidRPr="001A35FA">
        <w:rPr>
          <w:rFonts w:ascii="Verdana" w:eastAsiaTheme="minorHAnsi" w:hAnsi="Verdana" w:cs="AdvTT7c3c51d9"/>
        </w:rPr>
        <w:t>and mep</w:t>
      </w:r>
      <w:r w:rsidR="001A35FA">
        <w:rPr>
          <w:rFonts w:ascii="Verdana" w:eastAsiaTheme="minorHAnsi" w:hAnsi="Verdana" w:cs="AdvTT7c3c51d9"/>
        </w:rPr>
        <w:t>ivacaine mixture</w:t>
      </w:r>
      <w:r w:rsidR="001A35FA" w:rsidRPr="001A35FA">
        <w:rPr>
          <w:rFonts w:ascii="Verdana" w:eastAsiaTheme="minorHAnsi" w:hAnsi="Verdana" w:cs="AdvTT7c3c51d9"/>
        </w:rPr>
        <w:t>; or (2) sequential group</w:t>
      </w:r>
      <w:r w:rsidR="001A35FA">
        <w:rPr>
          <w:rFonts w:ascii="Verdana" w:eastAsiaTheme="minorHAnsi" w:hAnsi="Verdana" w:cs="AdvTT7c3c51d9"/>
        </w:rPr>
        <w:t>-</w:t>
      </w:r>
      <w:r w:rsidR="001A35FA" w:rsidRPr="001A35FA">
        <w:rPr>
          <w:rFonts w:ascii="Verdana" w:eastAsiaTheme="minorHAnsi" w:hAnsi="Verdana" w:cs="AdvTT7c3c51d9"/>
        </w:rPr>
        <w:t>mepivacaine followed</w:t>
      </w:r>
      <w:r w:rsidR="001A35FA">
        <w:rPr>
          <w:rFonts w:ascii="Verdana" w:eastAsiaTheme="minorHAnsi" w:hAnsi="Verdana" w:cs="AdvTT7c3c51d9"/>
        </w:rPr>
        <w:t xml:space="preserve"> by ropivacaine. </w:t>
      </w:r>
    </w:p>
    <w:p w:rsidR="00C841D0" w:rsidRDefault="00C841D0" w:rsidP="001A35FA">
      <w:pPr>
        <w:autoSpaceDE w:val="0"/>
        <w:autoSpaceDN w:val="0"/>
        <w:adjustRightInd w:val="0"/>
        <w:rPr>
          <w:rFonts w:ascii="Verdana" w:eastAsiaTheme="minorHAnsi" w:hAnsi="Verdana" w:cs="AdvTT7c3c51d9"/>
        </w:rPr>
      </w:pPr>
    </w:p>
    <w:p w:rsidR="00C841D0" w:rsidRPr="00C841D0" w:rsidRDefault="00C841D0" w:rsidP="00C841D0">
      <w:pPr>
        <w:autoSpaceDE w:val="0"/>
        <w:autoSpaceDN w:val="0"/>
        <w:adjustRightInd w:val="0"/>
        <w:rPr>
          <w:rFonts w:ascii="Verdana" w:hAnsi="Verdana"/>
          <w:color w:val="000000"/>
        </w:rPr>
      </w:pPr>
      <w:r w:rsidRPr="00C841D0">
        <w:rPr>
          <w:rFonts w:ascii="Verdana" w:eastAsiaTheme="minorHAnsi" w:hAnsi="Verdana" w:cs="AdvTT7c3c51d9"/>
        </w:rPr>
        <w:lastRenderedPageBreak/>
        <w:t>The primary outcome was time to 4-nerve sensory block</w:t>
      </w:r>
      <w:r>
        <w:rPr>
          <w:rFonts w:ascii="Verdana" w:eastAsiaTheme="minorHAnsi" w:hAnsi="Verdana" w:cs="AdvTT7c3c51d9"/>
        </w:rPr>
        <w:t xml:space="preserve"> </w:t>
      </w:r>
      <w:r w:rsidRPr="00C841D0">
        <w:rPr>
          <w:rFonts w:ascii="Verdana" w:eastAsiaTheme="minorHAnsi" w:hAnsi="Verdana" w:cs="AdvTT7c3c51d9"/>
        </w:rPr>
        <w:t>onset, which was defined as time from the completion of anesthetic</w:t>
      </w:r>
      <w:r>
        <w:rPr>
          <w:rFonts w:ascii="Verdana" w:eastAsiaTheme="minorHAnsi" w:hAnsi="Verdana" w:cs="AdvTT7c3c51d9"/>
        </w:rPr>
        <w:t xml:space="preserve"> </w:t>
      </w:r>
      <w:r w:rsidRPr="00C841D0">
        <w:rPr>
          <w:rFonts w:ascii="Verdana" w:eastAsiaTheme="minorHAnsi" w:hAnsi="Verdana" w:cs="AdvTT7c3c51d9"/>
        </w:rPr>
        <w:t>injection until development of sensory block to sharp pain</w:t>
      </w:r>
      <w:r>
        <w:rPr>
          <w:rFonts w:ascii="Verdana" w:eastAsiaTheme="minorHAnsi" w:hAnsi="Verdana" w:cs="AdvTT7c3c51d9"/>
        </w:rPr>
        <w:t xml:space="preserve"> </w:t>
      </w:r>
      <w:r w:rsidRPr="00C841D0">
        <w:rPr>
          <w:rFonts w:ascii="Verdana" w:eastAsiaTheme="minorHAnsi" w:hAnsi="Verdana" w:cs="AdvTT7c3c51d9"/>
        </w:rPr>
        <w:t>in each of the 4 major nerve distributions: median, ulnar, radial,</w:t>
      </w:r>
      <w:r>
        <w:rPr>
          <w:rFonts w:ascii="Verdana" w:eastAsiaTheme="minorHAnsi" w:hAnsi="Verdana" w:cs="AdvTT7c3c51d9"/>
        </w:rPr>
        <w:t xml:space="preserve"> </w:t>
      </w:r>
      <w:r w:rsidRPr="00C841D0">
        <w:rPr>
          <w:rFonts w:ascii="Verdana" w:eastAsiaTheme="minorHAnsi" w:hAnsi="Verdana" w:cs="AdvTT7c3c51d9"/>
        </w:rPr>
        <w:t>and musculocutaneous. Secondary outcomes were time to onset</w:t>
      </w:r>
      <w:r>
        <w:rPr>
          <w:rFonts w:ascii="Verdana" w:eastAsiaTheme="minorHAnsi" w:hAnsi="Verdana" w:cs="AdvTT7c3c51d9"/>
        </w:rPr>
        <w:t xml:space="preserve"> </w:t>
      </w:r>
      <w:r w:rsidRPr="00C841D0">
        <w:rPr>
          <w:rFonts w:ascii="Verdana" w:eastAsiaTheme="minorHAnsi" w:hAnsi="Verdana" w:cs="AdvTT7c3c51d9"/>
        </w:rPr>
        <w:t>of first sensory block, time to complete motor block, duration</w:t>
      </w:r>
      <w:r>
        <w:rPr>
          <w:rFonts w:ascii="Verdana" w:eastAsiaTheme="minorHAnsi" w:hAnsi="Verdana" w:cs="AdvTT7c3c51d9"/>
        </w:rPr>
        <w:t xml:space="preserve"> </w:t>
      </w:r>
      <w:r w:rsidRPr="00C841D0">
        <w:rPr>
          <w:rFonts w:ascii="Verdana" w:eastAsiaTheme="minorHAnsi" w:hAnsi="Verdana" w:cs="AdvTT7c3c51d9"/>
        </w:rPr>
        <w:t>of analgesia, 11-point verbal response pain scores at rest and</w:t>
      </w:r>
      <w:r>
        <w:rPr>
          <w:rFonts w:ascii="Verdana" w:eastAsiaTheme="minorHAnsi" w:hAnsi="Verdana" w:cs="AdvTT7c3c51d9"/>
        </w:rPr>
        <w:t xml:space="preserve"> </w:t>
      </w:r>
      <w:r w:rsidRPr="00C841D0">
        <w:rPr>
          <w:rFonts w:ascii="Verdana" w:eastAsiaTheme="minorHAnsi" w:hAnsi="Verdana" w:cs="AdvTT7c3c51d9"/>
        </w:rPr>
        <w:t>with movement, and total o</w:t>
      </w:r>
      <w:bookmarkStart w:id="0" w:name="_GoBack"/>
      <w:bookmarkEnd w:id="0"/>
      <w:r w:rsidRPr="00C841D0">
        <w:rPr>
          <w:rFonts w:ascii="Verdana" w:eastAsiaTheme="minorHAnsi" w:hAnsi="Verdana" w:cs="AdvTT7c3c51d9"/>
        </w:rPr>
        <w:t>pioid consumption.</w:t>
      </w:r>
    </w:p>
    <w:sectPr w:rsidR="00C841D0" w:rsidRPr="00C84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al-GreekwithMath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vTT336784a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7c3c51d9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6262"/>
    <w:multiLevelType w:val="hybridMultilevel"/>
    <w:tmpl w:val="AD702480"/>
    <w:lvl w:ilvl="0" w:tplc="FBCA2D9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Universal-GreekwithMathP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BC"/>
    <w:rsid w:val="000779ED"/>
    <w:rsid w:val="00082A01"/>
    <w:rsid w:val="001A35FA"/>
    <w:rsid w:val="002229CF"/>
    <w:rsid w:val="00324D81"/>
    <w:rsid w:val="00406DB2"/>
    <w:rsid w:val="004674EF"/>
    <w:rsid w:val="00780512"/>
    <w:rsid w:val="00835A83"/>
    <w:rsid w:val="00AE33AA"/>
    <w:rsid w:val="00BC295F"/>
    <w:rsid w:val="00C841D0"/>
    <w:rsid w:val="00D57331"/>
    <w:rsid w:val="00E92BF9"/>
    <w:rsid w:val="00EE5D20"/>
    <w:rsid w:val="00F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A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QHS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Nowacki (Local User)</dc:creator>
  <cp:lastModifiedBy>Amy Nowacki (Local User)</cp:lastModifiedBy>
  <cp:revision>12</cp:revision>
  <dcterms:created xsi:type="dcterms:W3CDTF">2012-11-20T19:35:00Z</dcterms:created>
  <dcterms:modified xsi:type="dcterms:W3CDTF">2013-05-03T18:36:00Z</dcterms:modified>
</cp:coreProperties>
</file>